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1F0174" w14:paraId="59389735" w14:textId="77777777" w:rsidTr="001B48E1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4C4EDFCE" w:rsidR="001F0174" w:rsidRDefault="001F0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439F2B59" w:rsidR="001F0174" w:rsidRDefault="001F0174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64E1C067" w:rsidR="001F0174" w:rsidRDefault="001F0174">
            <w:pPr>
              <w:pStyle w:val="ConsPlusNormal"/>
            </w:pPr>
          </w:p>
        </w:tc>
      </w:tr>
      <w:tr w:rsidR="007E7C77" w14:paraId="6AC449A8" w14:textId="77777777" w:rsidTr="001B48E1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1D33AEBE" w:rsidR="007E7C77" w:rsidRPr="00624C09" w:rsidRDefault="007E7C77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77777777" w:rsidR="007E7C77" w:rsidRPr="00624C09" w:rsidRDefault="007E7C77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53203B1" w14:textId="55676F8D" w:rsidR="007E7C77" w:rsidRPr="00624C09" w:rsidRDefault="001B48E1" w:rsidP="007E7C77">
            <w:pPr>
              <w:pStyle w:val="ConsPlusNormal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«Обеспечение общественного порядка и противодействие преступности в Республике Тыва на 2024-2030 годы»</w:t>
            </w:r>
          </w:p>
        </w:tc>
      </w:tr>
      <w:tr w:rsidR="001B48E1" w14:paraId="538FC848" w14:textId="77777777" w:rsidTr="007B2100">
        <w:tblPrEx>
          <w:tblLook w:val="0000" w:firstRow="0" w:lastRow="0" w:firstColumn="0" w:lastColumn="0" w:noHBand="0" w:noVBand="0"/>
        </w:tblPrEx>
        <w:tc>
          <w:tcPr>
            <w:tcW w:w="3118" w:type="dxa"/>
          </w:tcPr>
          <w:p w14:paraId="6DFC69AF" w14:textId="1CC02273" w:rsidR="001B48E1" w:rsidRPr="00624C09" w:rsidRDefault="001B48E1" w:rsidP="007B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14:paraId="076F5903" w14:textId="77777777" w:rsidR="001B48E1" w:rsidRPr="00624C09" w:rsidRDefault="001B48E1" w:rsidP="007B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</w:tcPr>
          <w:p w14:paraId="55B67412" w14:textId="77777777" w:rsidR="001B48E1" w:rsidRPr="00624C09" w:rsidRDefault="001B48E1" w:rsidP="007B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1B48E1" w14:paraId="3FA6B3AD" w14:textId="77777777" w:rsidTr="007B2100">
        <w:tblPrEx>
          <w:tblLook w:val="0000" w:firstRow="0" w:lastRow="0" w:firstColumn="0" w:lastColumn="0" w:noHBand="0" w:noVBand="0"/>
        </w:tblPrEx>
        <w:tc>
          <w:tcPr>
            <w:tcW w:w="3118" w:type="dxa"/>
          </w:tcPr>
          <w:p w14:paraId="4E0341A8" w14:textId="7E18F572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</w:tcPr>
          <w:p w14:paraId="6DFA9927" w14:textId="223CC4AB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</w:tcPr>
          <w:p w14:paraId="237562A0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обеспечение безопасности и правопорядка, повышение качества и результативности противодействия преступности, совершенствование системы профилактики правонарушений;</w:t>
            </w:r>
          </w:p>
          <w:p w14:paraId="6955608D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популяризация деятельности народных дружин путем материального стимулирования;</w:t>
            </w:r>
          </w:p>
          <w:p w14:paraId="0B65E58E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повышение уровня защищенности жизни и спокойствия граждан, проживающих на территории Республики Тыва;</w:t>
            </w:r>
          </w:p>
          <w:p w14:paraId="5F243461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усиление борьбы с правонарушениями на почве пьянства, алкоголизма и наркомании;</w:t>
            </w:r>
          </w:p>
          <w:p w14:paraId="0AFA4522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повышение уровня доверия граждан к органам внутренних дел Российской Федерации со стороны населения;</w:t>
            </w:r>
          </w:p>
          <w:p w14:paraId="41D2662D" w14:textId="3E3ADF4D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развитие инфраструктуры региональной системы оказания помощи лицам, освобожденным из мест лишения свободы, для дальнейшей их социализации</w:t>
            </w:r>
          </w:p>
        </w:tc>
      </w:tr>
      <w:tr w:rsidR="001B48E1" w14:paraId="2B599A2D" w14:textId="77777777" w:rsidTr="007B2100">
        <w:tblPrEx>
          <w:tblLook w:val="0000" w:firstRow="0" w:lastRow="0" w:firstColumn="0" w:lastColumn="0" w:noHBand="0" w:noVBand="0"/>
        </w:tblPrEx>
        <w:tc>
          <w:tcPr>
            <w:tcW w:w="3118" w:type="dxa"/>
          </w:tcPr>
          <w:p w14:paraId="7947B9D4" w14:textId="445419B8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Направления (подпрограммы)</w:t>
            </w:r>
          </w:p>
        </w:tc>
        <w:tc>
          <w:tcPr>
            <w:tcW w:w="340" w:type="dxa"/>
          </w:tcPr>
          <w:p w14:paraId="4FB0ECE1" w14:textId="5C7D66B1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</w:tcPr>
          <w:p w14:paraId="21683E74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"Обеспечение общественного порядка и безопасности граждан";</w:t>
            </w:r>
          </w:p>
          <w:p w14:paraId="3730AFFF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"Профилактика преступлений, совершенных с применением огнестрельного оружия";</w:t>
            </w:r>
          </w:p>
          <w:p w14:paraId="61DCAAE4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"Противодействие незаконному обороту алкогольной и спиртосодержащей продукции, а также наркотических средств";</w:t>
            </w:r>
          </w:p>
          <w:p w14:paraId="6994E430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"Ресоциализация лиц, отбывших уголовное наказание в виде лишения свободы и (или) подвергшихся иным мерам уголовного характера";</w:t>
            </w:r>
          </w:p>
          <w:p w14:paraId="1002ECD7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"Предупреждение экстремизма и терроризма";</w:t>
            </w:r>
          </w:p>
          <w:p w14:paraId="517C5F1C" w14:textId="5B44C10E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"Профилактика преступлений и административных правонарушений участковыми уполномоченными полиции"</w:t>
            </w:r>
          </w:p>
        </w:tc>
      </w:tr>
      <w:tr w:rsidR="001B48E1" w14:paraId="3F7DF6A0" w14:textId="77777777" w:rsidTr="007B2100">
        <w:tblPrEx>
          <w:tblLook w:val="0000" w:firstRow="0" w:lastRow="0" w:firstColumn="0" w:lastColumn="0" w:noHBand="0" w:noVBand="0"/>
        </w:tblPrEx>
        <w:tc>
          <w:tcPr>
            <w:tcW w:w="3118" w:type="dxa"/>
          </w:tcPr>
          <w:p w14:paraId="277C847E" w14:textId="68E8960A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Объемы и источники финансирование Программы</w:t>
            </w:r>
          </w:p>
        </w:tc>
        <w:tc>
          <w:tcPr>
            <w:tcW w:w="340" w:type="dxa"/>
          </w:tcPr>
          <w:p w14:paraId="6EF3AEF0" w14:textId="1524C4B1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</w:tcPr>
          <w:p w14:paraId="3E9A6E87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общий объем финансирования - 196072,9 тыс. рублей, из них:</w:t>
            </w:r>
          </w:p>
          <w:p w14:paraId="458EFBAC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 2024 году - 73667,1 тыс. рублей;</w:t>
            </w:r>
          </w:p>
          <w:p w14:paraId="1959CC07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 2025 году - 61884,05 тыс. рублей;</w:t>
            </w:r>
          </w:p>
          <w:p w14:paraId="24F4FA84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 2026 году - 11291,25 тыс. рублей;</w:t>
            </w:r>
          </w:p>
          <w:p w14:paraId="653B68DA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 2027 году - 11677,85 тыс. рублей;</w:t>
            </w:r>
          </w:p>
          <w:p w14:paraId="3332574D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 2028 году - 12082,65 тыс. рублей;</w:t>
            </w:r>
          </w:p>
          <w:p w14:paraId="2D4BF23A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 2029 году - 12514,75 тыс. рублей;</w:t>
            </w:r>
          </w:p>
          <w:p w14:paraId="559858F6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 2030 году - 12955,25 тыс. рублей,</w:t>
            </w:r>
          </w:p>
          <w:p w14:paraId="5099B08E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 том числе:</w:t>
            </w:r>
          </w:p>
          <w:p w14:paraId="33171399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средства федерального бюджета - 0 тыс. рублей;</w:t>
            </w:r>
          </w:p>
          <w:p w14:paraId="1757B086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средства республиканского бюджета Республики Тыва - 196072,9 тыс. рублей;</w:t>
            </w:r>
          </w:p>
          <w:p w14:paraId="0BC5D4B6" w14:textId="1A1BB34A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внебюджетные средства - 0 тыс. рублей</w:t>
            </w:r>
          </w:p>
        </w:tc>
      </w:tr>
      <w:tr w:rsidR="001B48E1" w14:paraId="76721E9F" w14:textId="77777777" w:rsidTr="007B2100">
        <w:tblPrEx>
          <w:tblLook w:val="0000" w:firstRow="0" w:lastRow="0" w:firstColumn="0" w:lastColumn="0" w:noHBand="0" w:noVBand="0"/>
        </w:tblPrEx>
        <w:tc>
          <w:tcPr>
            <w:tcW w:w="3118" w:type="dxa"/>
          </w:tcPr>
          <w:p w14:paraId="5E6B2DEB" w14:textId="33B9D09C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</w:tc>
        <w:tc>
          <w:tcPr>
            <w:tcW w:w="340" w:type="dxa"/>
          </w:tcPr>
          <w:p w14:paraId="50CD6963" w14:textId="7A84C962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</w:tcPr>
          <w:p w14:paraId="532EB733" w14:textId="77777777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 xml:space="preserve">национальный приоритет "Государственная и общественная безопасность", утвержденный </w:t>
            </w:r>
            <w:hyperlink r:id="rId10" w:history="1">
              <w:r w:rsidRPr="00624C09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624C09">
              <w:rPr>
                <w:rFonts w:ascii="Times New Roman" w:hAnsi="Times New Roman" w:cs="Times New Roman"/>
              </w:rPr>
              <w:t xml:space="preserve"> Президента Российской Федерации от 2 июля 2021 г. N 400 "О Стратегии национальной безопасности Российской Федерации";</w:t>
            </w:r>
          </w:p>
          <w:p w14:paraId="5737101D" w14:textId="42371072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1" w:history="1">
              <w:r w:rsidRPr="00624C09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624C09">
              <w:rPr>
                <w:rFonts w:ascii="Times New Roman" w:hAnsi="Times New Roman" w:cs="Times New Roman"/>
              </w:rPr>
              <w:t xml:space="preserve"> Российской Федерации "Обеспечение общественного порядка и противодействие преступности", утвержденная постановлением </w:t>
            </w:r>
            <w:r w:rsidRPr="00624C09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15 апреля 2014 г. N 345</w:t>
            </w:r>
          </w:p>
        </w:tc>
      </w:tr>
      <w:tr w:rsidR="001B48E1" w14:paraId="7BB6BD43" w14:textId="77777777" w:rsidTr="007B2100">
        <w:tblPrEx>
          <w:tblLook w:val="0000" w:firstRow="0" w:lastRow="0" w:firstColumn="0" w:lastColumn="0" w:noHBand="0" w:noVBand="0"/>
        </w:tblPrEx>
        <w:tc>
          <w:tcPr>
            <w:tcW w:w="3118" w:type="dxa"/>
          </w:tcPr>
          <w:p w14:paraId="130D9DCB" w14:textId="188186A0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lastRenderedPageBreak/>
              <w:t>Направления (подпрограммы)</w:t>
            </w:r>
          </w:p>
        </w:tc>
        <w:tc>
          <w:tcPr>
            <w:tcW w:w="340" w:type="dxa"/>
          </w:tcPr>
          <w:p w14:paraId="0C6B3B1B" w14:textId="4511E316" w:rsidR="001B48E1" w:rsidRPr="00624C09" w:rsidRDefault="001B48E1" w:rsidP="001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</w:tcPr>
          <w:p w14:paraId="21475345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"Обеспечение общественного порядка и безопасности граждан";</w:t>
            </w:r>
          </w:p>
          <w:p w14:paraId="485243C0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"Профилактика преступлений, совершенных с применением огнестрельного оружия";</w:t>
            </w:r>
          </w:p>
          <w:p w14:paraId="16FDF3BF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"Противодействие незаконному обороту алкогольной и спиртосодержащей продукции, а также наркотических средств";</w:t>
            </w:r>
          </w:p>
          <w:p w14:paraId="277C9572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"Ресоциализация лиц, отбывших уголовное наказание в виде лишения свободы и (или) подвергшихся иным мерам уголовного характера";</w:t>
            </w:r>
          </w:p>
          <w:p w14:paraId="717DEC96" w14:textId="77777777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"Предупреждение экстремизма и терроризма";</w:t>
            </w:r>
          </w:p>
          <w:p w14:paraId="7AF748F4" w14:textId="06EA1CD9" w:rsidR="001B48E1" w:rsidRPr="00624C09" w:rsidRDefault="00624C09" w:rsidP="001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1B48E1" w:rsidRPr="00624C09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="001B48E1" w:rsidRPr="00624C09">
              <w:rPr>
                <w:rFonts w:ascii="Times New Roman" w:hAnsi="Times New Roman" w:cs="Times New Roman"/>
              </w:rPr>
              <w:t xml:space="preserve"> "Профилактика преступлений и административных правонарушений участковыми уполномоченными полиции"</w:t>
            </w:r>
          </w:p>
        </w:tc>
      </w:tr>
    </w:tbl>
    <w:p w14:paraId="4BD971C7" w14:textId="77777777" w:rsidR="001F0174" w:rsidRDefault="001F0174" w:rsidP="001B48E1">
      <w:pPr>
        <w:autoSpaceDE w:val="0"/>
        <w:autoSpaceDN w:val="0"/>
        <w:adjustRightInd w:val="0"/>
        <w:spacing w:after="0" w:line="240" w:lineRule="auto"/>
        <w:outlineLvl w:val="0"/>
      </w:pPr>
    </w:p>
    <w:sectPr w:rsidR="001F0174" w:rsidSect="007E7C77">
      <w:pgSz w:w="11905" w:h="16838"/>
      <w:pgMar w:top="0" w:right="850" w:bottom="28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B48E1"/>
    <w:rsid w:val="001F0174"/>
    <w:rsid w:val="00624C09"/>
    <w:rsid w:val="007E7C77"/>
    <w:rsid w:val="00CD5A15"/>
    <w:rsid w:val="00E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026&amp;dst=100352" TargetMode="External"/><Relationship Id="rId13" Type="http://schemas.openxmlformats.org/officeDocument/2006/relationships/hyperlink" Target="https://login.consultant.ru/link/?req=doc&amp;base=RLAW434&amp;n=41026&amp;dst=10028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026&amp;dst=100329" TargetMode="External"/><Relationship Id="rId12" Type="http://schemas.openxmlformats.org/officeDocument/2006/relationships/hyperlink" Target="https://login.consultant.ru/link/?req=doc&amp;base=RLAW434&amp;n=41026&amp;dst=100260" TargetMode="External"/><Relationship Id="rId17" Type="http://schemas.openxmlformats.org/officeDocument/2006/relationships/hyperlink" Target="https://login.consultant.ru/link/?req=doc&amp;base=RLAW434&amp;n=41026&amp;dst=1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34&amp;n=41026&amp;dst=1003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26&amp;dst=100306" TargetMode="External"/><Relationship Id="rId11" Type="http://schemas.openxmlformats.org/officeDocument/2006/relationships/hyperlink" Target="https://login.consultant.ru/link/?req=doc&amp;base=LAW&amp;n=458506&amp;dst=27974" TargetMode="External"/><Relationship Id="rId5" Type="http://schemas.openxmlformats.org/officeDocument/2006/relationships/hyperlink" Target="https://login.consultant.ru/link/?req=doc&amp;base=RLAW434&amp;n=41026&amp;dst=100283" TargetMode="External"/><Relationship Id="rId15" Type="http://schemas.openxmlformats.org/officeDocument/2006/relationships/hyperlink" Target="https://login.consultant.ru/link/?req=doc&amp;base=RLAW434&amp;n=41026&amp;dst=100329" TargetMode="External"/><Relationship Id="rId10" Type="http://schemas.openxmlformats.org/officeDocument/2006/relationships/hyperlink" Target="https://login.consultant.ru/link/?req=doc&amp;base=LAW&amp;n=389271&amp;dst=10011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434&amp;n=41026&amp;dst=100260" TargetMode="External"/><Relationship Id="rId9" Type="http://schemas.openxmlformats.org/officeDocument/2006/relationships/hyperlink" Target="https://login.consultant.ru/link/?req=doc&amp;base=RLAW434&amp;n=41026&amp;dst=100375" TargetMode="External"/><Relationship Id="rId14" Type="http://schemas.openxmlformats.org/officeDocument/2006/relationships/hyperlink" Target="https://login.consultant.ru/link/?req=doc&amp;base=RLAW434&amp;n=41026&amp;dst=100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2024-01-11T02:07:00Z</dcterms:created>
  <dcterms:modified xsi:type="dcterms:W3CDTF">2024-01-11T09:29:00Z</dcterms:modified>
</cp:coreProperties>
</file>